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5.0 -->
  <w:body>
    <w:p>
      <w:pPr>
        <w:spacing w:before="0" w:after="0" w:line="291" w:lineRule="exact"/>
        <w:ind w:left="0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bookmarkStart w:id="0" w:name="br1"/>
      <w:bookmarkEnd w:id="0"/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报告编号：DAAPKM-2023-21</w:t>
      </w:r>
    </w:p>
    <w:p>
      <w:pPr>
        <w:spacing w:before="2115" w:after="0" w:line="449" w:lineRule="exact"/>
        <w:ind w:left="1886" w:right="0" w:firstLine="0"/>
        <w:jc w:val="left"/>
        <w:rPr>
          <w:rFonts w:hAnsi="Calibri"/>
          <w:color w:val="000000"/>
          <w:sz w:val="4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44"/>
          <w:szCs w:val="22"/>
          <w:lang w:val="en-US" w:eastAsia="en-US" w:bidi="ar-SA"/>
        </w:rPr>
        <w:t>昆明云内动力股份有限公司</w:t>
      </w:r>
    </w:p>
    <w:p>
      <w:pPr>
        <w:spacing w:before="405" w:after="0" w:line="449" w:lineRule="exact"/>
        <w:ind w:left="1277" w:right="0" w:firstLine="0"/>
        <w:jc w:val="left"/>
        <w:rPr>
          <w:rFonts w:hAnsi="Calibri"/>
          <w:color w:val="000000"/>
          <w:sz w:val="44"/>
          <w:szCs w:val="22"/>
          <w:lang w:val="en-US" w:eastAsia="en-US" w:bidi="ar-SA"/>
        </w:rPr>
      </w:pPr>
      <w:r>
        <w:rPr>
          <w:rFonts w:ascii="SimSun" w:hAnsi="Calibri" w:eastAsiaTheme="minorEastAsia" w:cstheme="minorBidi"/>
          <w:color w:val="000000"/>
          <w:sz w:val="44"/>
          <w:szCs w:val="22"/>
          <w:lang w:val="en-US" w:eastAsia="en-US" w:bidi="ar-SA"/>
        </w:rPr>
        <w:t>G</w:t>
      </w:r>
      <w:r>
        <w:rPr>
          <w:rFonts w:hAnsi="Calibri" w:eastAsiaTheme="minorEastAsia" w:cstheme="minorBidi"/>
          <w:color w:val="000000"/>
          <w:spacing w:val="1"/>
          <w:sz w:val="44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2"/>
          <w:sz w:val="44"/>
          <w:szCs w:val="22"/>
          <w:lang w:val="en-US" w:eastAsia="en-US" w:bidi="ar-SA"/>
        </w:rPr>
        <w:t>系列节能环保轻型商用车汽油机</w:t>
      </w:r>
    </w:p>
    <w:p>
      <w:pPr>
        <w:spacing w:before="408" w:after="0" w:line="449" w:lineRule="exact"/>
        <w:ind w:left="1886" w:right="0" w:firstLine="0"/>
        <w:jc w:val="left"/>
        <w:rPr>
          <w:rFonts w:hAnsi="Calibri"/>
          <w:color w:val="000000"/>
          <w:sz w:val="4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44"/>
          <w:szCs w:val="22"/>
          <w:lang w:val="en-US" w:eastAsia="en-US" w:bidi="ar-SA"/>
        </w:rPr>
        <w:t>研发平台（一期）建设项目</w:t>
      </w:r>
    </w:p>
    <w:p>
      <w:pPr>
        <w:spacing w:before="419" w:after="0" w:line="531" w:lineRule="exact"/>
        <w:ind w:left="2448" w:right="0" w:firstLine="0"/>
        <w:jc w:val="left"/>
        <w:rPr>
          <w:rFonts w:hAnsi="Calibri"/>
          <w:color w:val="000000"/>
          <w:sz w:val="5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52"/>
          <w:szCs w:val="22"/>
          <w:lang w:val="en-US" w:eastAsia="en-US" w:bidi="ar-SA"/>
        </w:rPr>
        <w:t>安全验收评价报告</w:t>
      </w:r>
    </w:p>
    <w:p>
      <w:pPr>
        <w:spacing w:before="6055" w:after="0" w:line="329" w:lineRule="exact"/>
        <w:ind w:left="277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2"/>
          <w:szCs w:val="22"/>
          <w:lang w:val="en-US" w:eastAsia="en-US" w:bidi="ar-SA"/>
        </w:rPr>
        <w:t>昭通市鼎安科技有限公司</w:t>
      </w:r>
    </w:p>
    <w:p>
      <w:pPr>
        <w:spacing w:before="293" w:after="0" w:line="329" w:lineRule="exact"/>
        <w:ind w:left="2635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3"/>
          <w:sz w:val="32"/>
          <w:szCs w:val="22"/>
          <w:lang w:val="en-US" w:eastAsia="en-US" w:bidi="ar-SA"/>
        </w:rPr>
        <w:t>资质证书编号:</w:t>
      </w:r>
      <w:r>
        <w:rPr>
          <w:rFonts w:hAnsi="Calibri" w:eastAsiaTheme="minorEastAsia" w:cstheme="minorBidi"/>
          <w:color w:val="000000"/>
          <w:spacing w:val="-96"/>
          <w:sz w:val="32"/>
          <w:szCs w:val="22"/>
          <w:lang w:val="en-US" w:eastAsia="en-US" w:bidi="ar-SA"/>
        </w:rPr>
        <w:t xml:space="preserve"> </w:t>
      </w:r>
      <w:r>
        <w:rPr>
          <w:rFonts w:ascii="SimSun" w:hAnsi="Calibri" w:eastAsiaTheme="minorEastAsia" w:cstheme="minorBidi"/>
          <w:color w:val="000000"/>
          <w:sz w:val="32"/>
          <w:szCs w:val="22"/>
          <w:lang w:val="en-US" w:eastAsia="en-US" w:bidi="ar-SA"/>
        </w:rPr>
        <w:t>A</w:t>
      </w:r>
      <w:r>
        <w:rPr>
          <w:rFonts w:hAnsi="Calibri" w:eastAsiaTheme="minorEastAsia" w:cstheme="minorBidi"/>
          <w:color w:val="000000"/>
          <w:spacing w:val="-98"/>
          <w:sz w:val="32"/>
          <w:szCs w:val="22"/>
          <w:lang w:val="en-US" w:eastAsia="en-US" w:bidi="ar-SA"/>
        </w:rPr>
        <w:t xml:space="preserve"> </w:t>
      </w:r>
      <w:r>
        <w:rPr>
          <w:rFonts w:ascii="SimSun" w:hAnsi="Calibri" w:eastAsiaTheme="minorEastAsia" w:cstheme="minorBidi"/>
          <w:color w:val="000000"/>
          <w:sz w:val="32"/>
          <w:szCs w:val="22"/>
          <w:lang w:val="en-US" w:eastAsia="en-US" w:bidi="ar-SA"/>
        </w:rPr>
        <w:t>P</w:t>
      </w:r>
      <w:r>
        <w:rPr>
          <w:rFonts w:hAnsi="Calibri" w:eastAsiaTheme="minorEastAsia" w:cstheme="minorBidi"/>
          <w:color w:val="000000"/>
          <w:spacing w:val="-98"/>
          <w:sz w:val="32"/>
          <w:szCs w:val="22"/>
          <w:lang w:val="en-US" w:eastAsia="en-US" w:bidi="ar-SA"/>
        </w:rPr>
        <w:t xml:space="preserve"> </w:t>
      </w:r>
      <w:r>
        <w:rPr>
          <w:rFonts w:ascii="SimSun" w:hAnsi="Calibri" w:eastAsiaTheme="minorEastAsia" w:cstheme="minorBidi"/>
          <w:color w:val="000000"/>
          <w:sz w:val="32"/>
          <w:szCs w:val="22"/>
          <w:lang w:val="en-US" w:eastAsia="en-US" w:bidi="ar-SA"/>
        </w:rPr>
        <w:t>J</w:t>
      </w:r>
      <w:r>
        <w:rPr>
          <w:rFonts w:hAnsi="Calibri" w:eastAsiaTheme="minorEastAsia" w:cstheme="minorBidi"/>
          <w:color w:val="000000"/>
          <w:spacing w:val="-98"/>
          <w:sz w:val="3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27"/>
          <w:sz w:val="32"/>
          <w:szCs w:val="22"/>
          <w:lang w:val="en-US" w:eastAsia="en-US" w:bidi="ar-SA"/>
        </w:rPr>
        <w:t>-（云）-0</w:t>
      </w:r>
      <w:r>
        <w:rPr>
          <w:rFonts w:hAnsi="Calibri" w:eastAsiaTheme="minorEastAsia" w:cstheme="minorBidi"/>
          <w:color w:val="000000"/>
          <w:spacing w:val="-96"/>
          <w:sz w:val="32"/>
          <w:szCs w:val="22"/>
          <w:lang w:val="en-US" w:eastAsia="en-US" w:bidi="ar-SA"/>
        </w:rPr>
        <w:t xml:space="preserve"> </w:t>
      </w:r>
      <w:r>
        <w:rPr>
          <w:rFonts w:ascii="SimSun" w:hAnsi="Calibri" w:eastAsiaTheme="minorEastAsia" w:cstheme="minorBidi"/>
          <w:color w:val="000000"/>
          <w:sz w:val="32"/>
          <w:szCs w:val="22"/>
          <w:lang w:val="en-US" w:eastAsia="en-US" w:bidi="ar-SA"/>
        </w:rPr>
        <w:t>0</w:t>
      </w:r>
      <w:r>
        <w:rPr>
          <w:rFonts w:hAnsi="Calibri" w:eastAsiaTheme="minorEastAsia" w:cstheme="minorBidi"/>
          <w:color w:val="000000"/>
          <w:spacing w:val="-98"/>
          <w:sz w:val="32"/>
          <w:szCs w:val="22"/>
          <w:lang w:val="en-US" w:eastAsia="en-US" w:bidi="ar-SA"/>
        </w:rPr>
        <w:t xml:space="preserve"> </w:t>
      </w:r>
      <w:r>
        <w:rPr>
          <w:rFonts w:ascii="SimSun" w:hAnsi="Calibri" w:eastAsiaTheme="minorEastAsia" w:cstheme="minorBidi"/>
          <w:color w:val="000000"/>
          <w:sz w:val="32"/>
          <w:szCs w:val="22"/>
          <w:lang w:val="en-US" w:eastAsia="en-US" w:bidi="ar-SA"/>
        </w:rPr>
        <w:t>5</w:t>
      </w:r>
    </w:p>
    <w:p>
      <w:pPr>
        <w:spacing w:before="293" w:after="0" w:line="329" w:lineRule="exact"/>
        <w:ind w:left="3612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  <w:sectPr>
          <w:pgSz w:w="11900" w:h="16820"/>
          <w:pgMar w:top="1558" w:right="100" w:bottom="0" w:left="1416" w:header="720" w:footer="720" w:gutter="0"/>
          <w:pgNumType w:start="1"/>
          <w:cols w:sep="0" w:space="720"/>
          <w:docGrid w:linePitch="1"/>
        </w:sectPr>
      </w:pPr>
      <w:r>
        <w:rPr>
          <w:rFonts w:ascii="SimSun" w:hAnsi="Calibri" w:eastAsiaTheme="minorEastAsia" w:cstheme="minorBidi"/>
          <w:color w:val="000000"/>
          <w:spacing w:val="1"/>
          <w:sz w:val="32"/>
          <w:szCs w:val="22"/>
          <w:lang w:val="en-US" w:eastAsia="en-US" w:bidi="ar-SA"/>
        </w:rPr>
        <w:t>2023</w:t>
      </w:r>
      <w:r>
        <w:rPr>
          <w:rFonts w:hAnsi="Calibri" w:eastAsiaTheme="minorEastAsia" w:cstheme="minorBidi"/>
          <w:color w:val="000000"/>
          <w:spacing w:val="2"/>
          <w:sz w:val="3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年</w:t>
      </w:r>
      <w:r>
        <w:rPr>
          <w:rFonts w:hAnsi="Calibri" w:eastAsiaTheme="minorEastAsia" w:cstheme="minorBidi"/>
          <w:color w:val="000000"/>
          <w:spacing w:val="1"/>
          <w:sz w:val="32"/>
          <w:szCs w:val="22"/>
          <w:lang w:val="en-US" w:eastAsia="en-US" w:bidi="ar-SA"/>
        </w:rPr>
        <w:t xml:space="preserve"> </w:t>
      </w:r>
      <w:r>
        <w:rPr>
          <w:rFonts w:ascii="SimSun" w:hAnsi="Calibri" w:eastAsiaTheme="minorEastAsia" w:cstheme="minorBidi"/>
          <w:color w:val="000000"/>
          <w:spacing w:val="1"/>
          <w:sz w:val="32"/>
          <w:szCs w:val="22"/>
          <w:lang w:val="en-US" w:eastAsia="en-US" w:bidi="ar-SA"/>
        </w:rPr>
        <w:t>10</w:t>
      </w:r>
      <w:r>
        <w:rPr>
          <w:rFonts w:hAnsi="Calibri" w:eastAsiaTheme="minorEastAsia" w:cstheme="minorBidi"/>
          <w:color w:val="000000"/>
          <w:spacing w:val="-1"/>
          <w:sz w:val="3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月</w:t>
      </w:r>
    </w:p>
    <w:p>
      <w:pPr>
        <w:spacing w:before="0" w:after="0" w:line="329" w:lineRule="exact"/>
        <w:ind w:left="2369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bookmarkStart w:id="1" w:name="br1_0"/>
      <w:bookmarkEnd w:id="1"/>
      <w:r>
        <w:rPr>
          <w:rFonts w:ascii="SimSun" w:hAnsi="SimSun" w:eastAsiaTheme="minorEastAsia" w:cs="SimSun"/>
          <w:color w:val="000000"/>
          <w:spacing w:val="1"/>
          <w:sz w:val="32"/>
          <w:szCs w:val="22"/>
          <w:lang w:val="en-US" w:eastAsia="en-US" w:bidi="ar-SA"/>
        </w:rPr>
        <w:t>昆明云内动力股份有限公司</w:t>
      </w:r>
    </w:p>
    <w:p>
      <w:pPr>
        <w:spacing w:before="293" w:after="0" w:line="329" w:lineRule="exact"/>
        <w:ind w:left="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SimSun" w:hAnsi="Calibri" w:eastAsiaTheme="minorEastAsia" w:cstheme="minorBidi"/>
          <w:color w:val="000000"/>
          <w:sz w:val="32"/>
          <w:szCs w:val="22"/>
          <w:lang w:val="en-US" w:eastAsia="en-US" w:bidi="ar-SA"/>
        </w:rPr>
        <w:t>G</w:t>
      </w:r>
      <w:r>
        <w:rPr>
          <w:rFonts w:hAnsi="Calibri" w:eastAsiaTheme="minorEastAsia" w:cstheme="minorBidi"/>
          <w:color w:val="000000"/>
          <w:sz w:val="3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1"/>
          <w:sz w:val="32"/>
          <w:szCs w:val="22"/>
          <w:lang w:val="en-US" w:eastAsia="en-US" w:bidi="ar-SA"/>
        </w:rPr>
        <w:t>系列节能环保轻型商用车汽油机研发平台（一期）建设项目</w:t>
      </w:r>
    </w:p>
    <w:p>
      <w:pPr>
        <w:spacing w:before="295" w:after="0" w:line="329" w:lineRule="exact"/>
        <w:ind w:left="3012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2"/>
          <w:szCs w:val="22"/>
          <w:lang w:val="en-US" w:eastAsia="en-US" w:bidi="ar-SA"/>
        </w:rPr>
        <w:t>安全验收评价报告</w:t>
      </w:r>
    </w:p>
    <w:p>
      <w:pPr>
        <w:spacing w:before="4237" w:after="0" w:line="291" w:lineRule="exact"/>
        <w:ind w:left="2750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法</w:t>
      </w:r>
      <w:r>
        <w:rPr>
          <w:rFonts w:hAnsi="Calibri" w:eastAsiaTheme="minorEastAsia" w:cstheme="minorBidi"/>
          <w:color w:val="000000"/>
          <w:spacing w:val="70"/>
          <w:sz w:val="28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定</w:t>
      </w:r>
      <w:r>
        <w:rPr>
          <w:rFonts w:hAnsi="Calibri" w:eastAsiaTheme="minorEastAsia" w:cstheme="minorBidi"/>
          <w:color w:val="000000"/>
          <w:spacing w:val="72"/>
          <w:sz w:val="28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代</w:t>
      </w:r>
      <w:r>
        <w:rPr>
          <w:rFonts w:hAnsi="Calibri" w:eastAsiaTheme="minorEastAsia" w:cstheme="minorBidi"/>
          <w:color w:val="000000"/>
          <w:spacing w:val="70"/>
          <w:sz w:val="28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表</w:t>
      </w:r>
      <w:r>
        <w:rPr>
          <w:rFonts w:hAnsi="Calibri" w:eastAsiaTheme="minorEastAsia" w:cstheme="minorBidi"/>
          <w:color w:val="000000"/>
          <w:spacing w:val="72"/>
          <w:sz w:val="28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人：毛卫旭</w:t>
      </w:r>
    </w:p>
    <w:p>
      <w:pPr>
        <w:spacing w:before="254" w:after="0" w:line="291" w:lineRule="exact"/>
        <w:ind w:left="2750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技</w:t>
      </w:r>
      <w:r>
        <w:rPr>
          <w:rFonts w:hAnsi="Calibri" w:eastAsiaTheme="minorEastAsia" w:cstheme="minorBidi"/>
          <w:color w:val="000000"/>
          <w:spacing w:val="70"/>
          <w:sz w:val="28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术</w:t>
      </w:r>
      <w:r>
        <w:rPr>
          <w:rFonts w:hAnsi="Calibri" w:eastAsiaTheme="minorEastAsia" w:cstheme="minorBidi"/>
          <w:color w:val="000000"/>
          <w:spacing w:val="72"/>
          <w:sz w:val="28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负</w:t>
      </w:r>
      <w:r>
        <w:rPr>
          <w:rFonts w:hAnsi="Calibri" w:eastAsiaTheme="minorEastAsia" w:cstheme="minorBidi"/>
          <w:color w:val="000000"/>
          <w:spacing w:val="70"/>
          <w:sz w:val="28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责</w:t>
      </w:r>
      <w:r>
        <w:rPr>
          <w:rFonts w:hAnsi="Calibri" w:eastAsiaTheme="minorEastAsia" w:cstheme="minorBidi"/>
          <w:color w:val="000000"/>
          <w:spacing w:val="72"/>
          <w:sz w:val="28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人：饶旭军</w:t>
      </w:r>
    </w:p>
    <w:p>
      <w:pPr>
        <w:spacing w:before="251" w:after="0" w:line="291" w:lineRule="exact"/>
        <w:ind w:left="2750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评价项目负责人：陆朝春</w:t>
      </w:r>
    </w:p>
    <w:p>
      <w:pPr>
        <w:spacing w:before="2978" w:after="0" w:line="291" w:lineRule="exact"/>
        <w:ind w:left="2222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评价报告完成日期：2023</w:t>
      </w:r>
      <w:r>
        <w:rPr>
          <w:rFonts w:hAnsi="Calibri" w:eastAsiaTheme="minorEastAsia" w:cstheme="minorBidi"/>
          <w:color w:val="000000"/>
          <w:sz w:val="28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年</w:t>
      </w:r>
      <w:r>
        <w:rPr>
          <w:rFonts w:hAnsi="Calibri" w:eastAsiaTheme="minorEastAsia" w:cstheme="minorBidi"/>
          <w:color w:val="000000"/>
          <w:sz w:val="28"/>
          <w:szCs w:val="22"/>
          <w:lang w:val="en-US" w:eastAsia="en-US" w:bidi="ar-SA"/>
        </w:rPr>
        <w:t xml:space="preserve"> </w:t>
      </w:r>
      <w:r>
        <w:rPr>
          <w:rFonts w:ascii="SimSun" w:hAnsi="Calibri" w:eastAsiaTheme="minorEastAsia" w:cstheme="minorBidi"/>
          <w:color w:val="000000"/>
          <w:spacing w:val="2"/>
          <w:sz w:val="28"/>
          <w:szCs w:val="22"/>
          <w:lang w:val="en-US" w:eastAsia="en-US" w:bidi="ar-SA"/>
        </w:rPr>
        <w:t>10</w:t>
      </w:r>
      <w:r>
        <w:rPr>
          <w:rFonts w:hAnsi="Calibri" w:eastAsiaTheme="minorEastAsia" w:cstheme="minorBidi"/>
          <w:color w:val="000000"/>
          <w:sz w:val="28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月</w:t>
      </w:r>
    </w:p>
    <w:p>
      <w:pPr>
        <w:spacing w:before="254" w:after="0" w:line="291" w:lineRule="exact"/>
        <w:ind w:left="2892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  <w:sectPr>
          <w:pgSz w:w="11900" w:h="16820"/>
          <w:pgMar w:top="3938" w:right="100" w:bottom="0" w:left="1656" w:header="720" w:footer="720" w:gutter="0"/>
          <w:pgNumType w:start="1"/>
          <w:cols w:sep="0" w:space="720"/>
          <w:docGrid w:linePitch="1"/>
        </w:sect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（安全评价机构公章）</w:t>
      </w:r>
    </w:p>
    <w:p>
      <w:pPr>
        <w:spacing w:before="120" w:after="240" w:line="259" w:lineRule="auto"/>
        <w:jc w:val="both"/>
        <w:rPr>
          <w:rFonts w:ascii="Calibri" w:hAnsi="Calibri"/>
          <w:noProof/>
          <w:sz w:val="22"/>
          <w:szCs w:val="22"/>
          <w:lang w:val="en-US" w:eastAsia="en-US" w:bidi="ar-SA"/>
        </w:rPr>
        <w:sectPr>
          <w:pgSz w:w="11900" w:h="16840"/>
          <w:pgMar w:top="0" w:right="100" w:bottom="0" w:left="0" w:header="720" w:footer="720" w:gutter="0"/>
          <w:pgNumType w:start="1"/>
          <w:cols w:sep="0" w:space="720"/>
          <w:docGrid w:linePitch="1"/>
        </w:sectPr>
      </w:pPr>
      <w:bookmarkStart w:id="2" w:name="br1_1"/>
      <w:bookmarkEnd w:id="2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86.35pt;height:844pt;margin-top:-1pt;margin-left:4.3pt;mso-position-horizontal-relative:page;mso-position-vertical-relative:page;position:absolute;z-index:-251658240">
            <v:imagedata r:id="rId4" o:title=""/>
          </v:shape>
        </w:pict>
      </w:r>
    </w:p>
    <w:p>
      <w:pPr>
        <w:spacing w:before="120" w:after="240" w:line="259" w:lineRule="auto"/>
        <w:jc w:val="both"/>
        <w:rPr>
          <w:rFonts w:ascii="Calibri" w:hAnsi="Calibri"/>
          <w:noProof/>
          <w:sz w:val="22"/>
          <w:szCs w:val="22"/>
          <w:lang w:val="en-US" w:eastAsia="en-US" w:bidi="ar-SA"/>
        </w:rPr>
        <w:sectPr>
          <w:pgSz w:w="11900" w:h="16840"/>
          <w:pgMar w:top="0" w:right="100" w:bottom="0" w:left="0" w:header="720" w:footer="720" w:gutter="0"/>
          <w:pgNumType w:start="1"/>
          <w:cols w:sep="0" w:space="720"/>
          <w:docGrid w:linePitch="1"/>
        </w:sectPr>
      </w:pPr>
      <w:bookmarkStart w:id="3" w:name="br1_2"/>
      <w:bookmarkEnd w:id="3"/>
      <w:r>
        <w:rPr>
          <w:noProof/>
        </w:rPr>
        <w:pict>
          <v:shape id="_x0000_s1026" type="#_x0000_t75" style="width:597pt;height:814.6pt;margin-top:13.7pt;margin-left:-1pt;mso-position-horizontal-relative:page;mso-position-vertical-relative:page;position:absolute;z-index:-251657216">
            <v:imagedata r:id="rId5" o:title=""/>
          </v:shape>
        </w:pict>
      </w:r>
    </w:p>
    <w:p>
      <w:pPr>
        <w:spacing w:before="0" w:after="0" w:line="342" w:lineRule="exact"/>
        <w:ind w:left="168" w:right="0" w:firstLine="0"/>
        <w:jc w:val="left"/>
        <w:rPr>
          <w:rFonts w:hAnsi="Calibri"/>
          <w:color w:val="000000"/>
          <w:sz w:val="30"/>
          <w:szCs w:val="22"/>
          <w:lang w:val="en-US" w:eastAsia="en-US" w:bidi="ar-SA"/>
        </w:rPr>
      </w:pPr>
      <w:bookmarkStart w:id="4" w:name="br1_3"/>
      <w:bookmarkEnd w:id="4"/>
      <w:r>
        <w:rPr>
          <w:noProof/>
        </w:rPr>
        <w:pict>
          <v:shape id="_x0000_s1027" type="#_x0000_t75" style="width:490.2pt;height:546.25pt;margin-top:225.15pt;margin-left:64.25pt;mso-position-horizontal-relative:page;mso-position-vertical-relative:page;position:absolute;z-index:-251656192">
            <v:imagedata r:id="rId6" o:title=""/>
          </v:shape>
        </w:pict>
      </w:r>
      <w:bookmarkStart w:id="5" w:name="br1_4"/>
      <w:bookmarkEnd w:id="5"/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《昆明云内动力股份有限公司</w:t>
      </w:r>
      <w:r>
        <w:rPr>
          <w:rFonts w:ascii="CWMMGU+TimesNewRomanPS-BoldMT" w:hAnsi="Calibri" w:eastAsiaTheme="minorEastAsia" w:cstheme="minorBidi"/>
          <w:color w:val="000000"/>
          <w:spacing w:val="-1"/>
          <w:sz w:val="30"/>
          <w:szCs w:val="22"/>
          <w:lang w:val="en-US" w:eastAsia="en-US" w:bidi="ar-SA"/>
        </w:rPr>
        <w:t>G</w:t>
      </w: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系列节能环保轻型商用车汽油机研发</w:t>
      </w:r>
    </w:p>
    <w:p>
      <w:pPr>
        <w:spacing w:before="166" w:after="0" w:line="310" w:lineRule="exact"/>
        <w:ind w:left="1188" w:right="0" w:firstLine="0"/>
        <w:jc w:val="lef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平台（一期）建设项目安全验收评价报告》修改说明</w:t>
      </w:r>
    </w:p>
    <w:p>
      <w:pPr>
        <w:spacing w:before="520" w:after="0" w:line="291" w:lineRule="exact"/>
        <w:ind w:left="619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《昆明云内动力股份有限公司G系列节能环保轻型商用车汽油机研发平</w:t>
      </w:r>
    </w:p>
    <w:p>
      <w:pPr>
        <w:spacing w:before="208" w:after="0" w:line="291" w:lineRule="exact"/>
        <w:ind w:left="58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台（一期）建设项目安全验收评价报告》于2023年08月09日经专家评审。我</w:t>
      </w:r>
    </w:p>
    <w:p>
      <w:pPr>
        <w:spacing w:before="208" w:after="0" w:line="291" w:lineRule="exact"/>
        <w:ind w:left="58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公司根据专家评审意见对评价报告进行了修改完善，特编制以下修改说明：</w:t>
      </w:r>
    </w:p>
    <w:p>
      <w:pPr>
        <w:spacing w:before="219" w:after="176" w:line="25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序号</w:t>
      </w:r>
      <w:r>
        <w:rPr>
          <w:rFonts w:hAnsi="Calibri" w:eastAsiaTheme="minorEastAsia" w:cstheme="minorBidi"/>
          <w:color w:val="000000"/>
          <w:spacing w:val="1723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1"/>
          <w:szCs w:val="22"/>
          <w:lang w:val="en-US" w:eastAsia="en-US" w:bidi="ar-SA"/>
        </w:rPr>
        <w:t>评审意见</w:t>
      </w:r>
      <w:r>
        <w:rPr>
          <w:rFonts w:hAnsi="Calibri" w:eastAsiaTheme="minorEastAsia" w:cstheme="minorBidi"/>
          <w:color w:val="000000"/>
          <w:spacing w:val="3383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1"/>
          <w:szCs w:val="22"/>
          <w:lang w:val="en-US" w:eastAsia="en-US" w:bidi="ar-SA"/>
        </w:rPr>
        <w:t>修改说明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87"/>
        <w:gridCol w:w="604"/>
        <w:gridCol w:w="20"/>
        <w:gridCol w:w="4060"/>
        <w:gridCol w:w="20"/>
        <w:gridCol w:w="4602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689"/>
          <w:jc w:val="left"/>
        </w:trPr>
        <w:tc>
          <w:tcPr>
            <w:tcW w:w="187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hAnsi="Calibri"/>
                <w:color w:val="000000"/>
                <w:szCs w:val="22"/>
                <w:lang w:val="en-US" w:eastAsia="en-US" w:bidi="ar-SA"/>
              </w:rPr>
            </w:pPr>
          </w:p>
        </w:tc>
        <w:tc>
          <w:tcPr>
            <w:tcW w:w="604" w:type="dxa"/>
            <w:noWrap w:val="0"/>
            <w:textDirection w:val="lrTb"/>
            <w:tcFitText w:val="0"/>
            <w:vAlign w:val="top"/>
          </w:tcPr>
          <w:p>
            <w:pPr>
              <w:spacing w:before="303" w:after="0" w:line="245" w:lineRule="exact"/>
              <w:ind w:left="0" w:right="0" w:firstLine="0"/>
              <w:jc w:val="left"/>
              <w:rPr>
                <w:rFonts w:hAnsi="Calibri"/>
                <w:color w:val="000000"/>
                <w:sz w:val="22"/>
                <w:szCs w:val="22"/>
                <w:lang w:val="en-US" w:eastAsia="en-US" w:bidi="ar-SA"/>
              </w:rPr>
            </w:pPr>
            <w:r>
              <w:rPr>
                <w:rFonts w:ascii="RVMPPF+TimesNewRomanPSMT" w:hAnsi="Calibri" w:eastAsiaTheme="minorEastAsia" w:cstheme="minorBidi"/>
                <w:color w:val="00000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hAnsi="Calibri"/>
                <w:color w:val="00000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406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1" w:lineRule="exact"/>
              <w:ind w:left="0" w:right="0" w:firstLine="0"/>
              <w:jc w:val="left"/>
              <w:rPr>
                <w:rFonts w:hAnsi="Calibri"/>
                <w:color w:val="000000"/>
                <w:sz w:val="22"/>
                <w:szCs w:val="22"/>
                <w:lang w:val="en-US" w:eastAsia="en-US" w:bidi="ar-SA"/>
              </w:rPr>
            </w:pPr>
            <w:r>
              <w:rPr>
                <w:rFonts w:ascii="SimSun" w:hAnsi="SimSun" w:eastAsiaTheme="minorEastAsia" w:cs="SimSun"/>
                <w:color w:val="000000"/>
                <w:spacing w:val="7"/>
                <w:sz w:val="22"/>
                <w:szCs w:val="22"/>
                <w:lang w:val="en-US" w:eastAsia="en-US" w:bidi="ar-SA"/>
              </w:rPr>
              <w:t>细化评价范围(明确项目分期情况)及完</w:t>
            </w:r>
          </w:p>
          <w:p>
            <w:pPr>
              <w:spacing w:before="91" w:after="0" w:line="221" w:lineRule="exact"/>
              <w:ind w:left="0" w:right="0" w:firstLine="0"/>
              <w:jc w:val="left"/>
              <w:rPr>
                <w:rFonts w:hAnsi="Calibri"/>
                <w:color w:val="000000"/>
                <w:sz w:val="22"/>
                <w:szCs w:val="22"/>
                <w:lang w:val="en-US" w:eastAsia="en-US" w:bidi="ar-SA"/>
              </w:rPr>
            </w:pPr>
            <w:r>
              <w:rPr>
                <w:rFonts w:ascii="SimSun" w:hAnsi="SimSun" w:eastAsiaTheme="minorEastAsia" w:cs="SimSun"/>
                <w:color w:val="000000"/>
                <w:sz w:val="22"/>
                <w:szCs w:val="22"/>
                <w:lang w:val="en-US" w:eastAsia="en-US" w:bidi="ar-SA"/>
              </w:rPr>
              <w:t>善评价依据。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hAnsi="Calibri"/>
                <w:color w:val="00000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4602" w:type="dxa"/>
            <w:noWrap w:val="0"/>
            <w:textDirection w:val="lrTb"/>
            <w:tcFitText w:val="0"/>
            <w:vAlign w:val="top"/>
          </w:tcPr>
          <w:p>
            <w:pPr>
              <w:spacing w:before="156" w:after="0" w:line="221" w:lineRule="exact"/>
              <w:ind w:left="0" w:right="0" w:firstLine="0"/>
              <w:jc w:val="left"/>
              <w:rPr>
                <w:rFonts w:hAnsi="Calibri"/>
                <w:color w:val="000000"/>
                <w:sz w:val="22"/>
                <w:szCs w:val="22"/>
                <w:lang w:val="en-US" w:eastAsia="en-US" w:bidi="ar-SA"/>
              </w:rPr>
            </w:pPr>
            <w:r>
              <w:rPr>
                <w:rFonts w:ascii="SimSun" w:hAnsi="SimSun" w:eastAsiaTheme="minorEastAsia" w:cs="SimSun"/>
                <w:color w:val="000000"/>
                <w:spacing w:val="-3"/>
                <w:sz w:val="22"/>
                <w:szCs w:val="22"/>
                <w:lang w:val="en-US" w:eastAsia="en-US" w:bidi="ar-SA"/>
              </w:rPr>
              <w:t>已细化评价范围，完善评价依据，见报告</w:t>
            </w:r>
            <w:r>
              <w:rPr>
                <w:rFonts w:hAnsi="Calibri" w:eastAsiaTheme="minorEastAsia" w:cstheme="minorBidi"/>
                <w:color w:val="000000"/>
                <w:spacing w:val="4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imSun" w:hAnsi="Calibri" w:eastAsiaTheme="minorEastAsia" w:cstheme="minorBidi"/>
                <w:color w:val="000000"/>
                <w:sz w:val="22"/>
                <w:szCs w:val="22"/>
                <w:lang w:val="en-US" w:eastAsia="en-US" w:bidi="ar-SA"/>
              </w:rPr>
              <w:t>1.1.2</w:t>
            </w:r>
          </w:p>
          <w:p>
            <w:pPr>
              <w:spacing w:before="91" w:after="0" w:line="221" w:lineRule="exact"/>
              <w:ind w:left="0" w:right="0" w:firstLine="0"/>
              <w:jc w:val="left"/>
              <w:rPr>
                <w:rFonts w:hAnsi="Calibri"/>
                <w:color w:val="000000"/>
                <w:sz w:val="22"/>
                <w:szCs w:val="22"/>
                <w:lang w:val="en-US" w:eastAsia="en-US" w:bidi="ar-SA"/>
              </w:rPr>
            </w:pPr>
            <w:r>
              <w:rPr>
                <w:rFonts w:ascii="SimSun" w:hAnsi="SimSun" w:eastAsiaTheme="minorEastAsia" w:cs="SimSun"/>
                <w:color w:val="000000"/>
                <w:sz w:val="22"/>
                <w:szCs w:val="22"/>
                <w:lang w:val="en-US" w:eastAsia="en-US" w:bidi="ar-SA"/>
              </w:rPr>
              <w:t>章节和</w:t>
            </w:r>
            <w:r>
              <w:rPr>
                <w:rFonts w:hAnsi="Calibri" w:eastAsiaTheme="minorEastAsia" w:cstheme="minorBidi"/>
                <w:color w:val="000000"/>
                <w:spacing w:val="1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imSun" w:hAnsi="Calibri" w:eastAsiaTheme="minorEastAsia" w:cstheme="minorBidi"/>
                <w:color w:val="000000"/>
                <w:sz w:val="22"/>
                <w:szCs w:val="22"/>
                <w:lang w:val="en-US" w:eastAsia="en-US" w:bidi="ar-SA"/>
              </w:rPr>
              <w:t>1.3</w:t>
            </w:r>
            <w:r>
              <w:rPr>
                <w:rFonts w:hAnsi="Calibri" w:eastAsiaTheme="minorEastAsia" w:cstheme="minorBidi"/>
                <w:color w:val="00000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imSun" w:hAnsi="SimSun" w:eastAsiaTheme="minorEastAsia" w:cs="SimSun"/>
                <w:color w:val="000000"/>
                <w:sz w:val="22"/>
                <w:szCs w:val="22"/>
                <w:lang w:val="en-US" w:eastAsia="en-US" w:bidi="ar-SA"/>
              </w:rPr>
              <w:t>章节。</w:t>
            </w:r>
          </w:p>
        </w:tc>
      </w:tr>
    </w:tbl>
    <w:p>
      <w:pPr>
        <w:spacing w:before="257" w:after="0" w:line="231" w:lineRule="exact"/>
        <w:ind w:left="811" w:right="0" w:firstLine="0"/>
        <w:jc w:val="lef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2"/>
          <w:szCs w:val="22"/>
          <w:lang w:val="en-US" w:eastAsia="en-US" w:bidi="ar-SA"/>
        </w:rPr>
        <w:t>完善建设单位的基本情况【安全设施设计</w:t>
      </w:r>
    </w:p>
    <w:p>
      <w:pPr>
        <w:spacing w:before="81" w:after="0" w:line="231" w:lineRule="exact"/>
        <w:ind w:left="811" w:right="0" w:firstLine="0"/>
        <w:jc w:val="lef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2"/>
          <w:szCs w:val="22"/>
          <w:lang w:val="en-US" w:eastAsia="en-US" w:bidi="ar-SA"/>
        </w:rPr>
        <w:t>与安全验收评价报告内容一致性说明、发</w:t>
      </w:r>
    </w:p>
    <w:p>
      <w:pPr>
        <w:spacing w:before="81" w:after="0" w:line="231" w:lineRule="exact"/>
        <w:ind w:left="811" w:right="0" w:firstLine="0"/>
        <w:jc w:val="lef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3"/>
          <w:sz w:val="22"/>
          <w:szCs w:val="22"/>
          <w:lang w:val="en-US" w:eastAsia="en-US" w:bidi="ar-SA"/>
        </w:rPr>
        <w:t>动机试验台架间及配套公辅设施设置</w:t>
      </w:r>
    </w:p>
    <w:p>
      <w:pPr>
        <w:spacing w:before="74" w:after="0" w:line="255" w:lineRule="exact"/>
        <w:ind w:left="187" w:right="0" w:firstLine="0"/>
        <w:jc w:val="lef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RVMPPF+TimesNewRomanPSMT" w:hAnsi="Calibri" w:eastAsiaTheme="minorEastAsia" w:cstheme="minorBidi"/>
          <w:color w:val="000000"/>
          <w:sz w:val="22"/>
          <w:szCs w:val="22"/>
          <w:lang w:val="en-US" w:eastAsia="en-US" w:bidi="ar-SA"/>
        </w:rPr>
        <w:t>2</w:t>
      </w:r>
      <w:r>
        <w:rPr>
          <w:rFonts w:hAnsi="Calibri" w:eastAsiaTheme="minorEastAsia" w:cstheme="minorBidi"/>
          <w:color w:val="000000"/>
          <w:spacing w:val="459"/>
          <w:sz w:val="2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5"/>
          <w:sz w:val="22"/>
          <w:szCs w:val="22"/>
          <w:lang w:val="en-US" w:eastAsia="en-US" w:bidi="ar-SA"/>
        </w:rPr>
        <w:t>(如：标气间标气种类、废油间)；各检验</w:t>
      </w:r>
      <w:r>
        <w:rPr>
          <w:rFonts w:hAnsi="Calibri" w:eastAsiaTheme="minorEastAsia" w:cstheme="minorBidi"/>
          <w:color w:val="000000"/>
          <w:spacing w:val="167"/>
          <w:sz w:val="2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已补充完善，见报告</w:t>
      </w:r>
      <w:r>
        <w:rPr>
          <w:rFonts w:hAnsi="Calibri" w:eastAsiaTheme="minorEastAsia" w:cstheme="minorBidi"/>
          <w:color w:val="000000"/>
          <w:spacing w:val="1"/>
          <w:sz w:val="22"/>
          <w:szCs w:val="22"/>
          <w:lang w:val="en-US" w:eastAsia="en-US" w:bidi="ar-SA"/>
        </w:rPr>
        <w:t xml:space="preserve"> </w:t>
      </w:r>
      <w:r>
        <w:rPr>
          <w:rFonts w:ascii="SimSun" w:hAnsi="Calibri" w:eastAsiaTheme="minorEastAsia" w:cstheme="minorBidi"/>
          <w:color w:val="000000"/>
          <w:sz w:val="22"/>
          <w:szCs w:val="22"/>
          <w:lang w:val="en-US" w:eastAsia="en-US" w:bidi="ar-SA"/>
        </w:rPr>
        <w:t>2.4.1</w:t>
      </w:r>
      <w:r>
        <w:rPr>
          <w:rFonts w:hAnsi="Calibri" w:eastAsiaTheme="minorEastAsia" w:cstheme="minorBidi"/>
          <w:color w:val="000000"/>
          <w:spacing w:val="-2"/>
          <w:sz w:val="2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章节。</w:t>
      </w:r>
    </w:p>
    <w:p>
      <w:pPr>
        <w:spacing w:before="64" w:after="0" w:line="231" w:lineRule="exact"/>
        <w:ind w:left="811" w:right="0" w:firstLine="0"/>
        <w:jc w:val="lef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2"/>
          <w:szCs w:val="22"/>
          <w:lang w:val="en-US" w:eastAsia="en-US" w:bidi="ar-SA"/>
        </w:rPr>
        <w:t>及试验室的各类安全设备设置情况；加油</w:t>
      </w:r>
    </w:p>
    <w:p>
      <w:pPr>
        <w:spacing w:before="81" w:after="0" w:line="231" w:lineRule="exact"/>
        <w:ind w:left="811" w:right="0" w:firstLine="0"/>
        <w:jc w:val="lef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8"/>
          <w:sz w:val="22"/>
          <w:szCs w:val="22"/>
          <w:lang w:val="en-US" w:eastAsia="en-US" w:bidi="ar-SA"/>
        </w:rPr>
        <w:t>站及相关设备设施技改；作业人员分布</w:t>
      </w:r>
    </w:p>
    <w:p>
      <w:pPr>
        <w:spacing w:before="81" w:after="0" w:line="231" w:lineRule="exact"/>
        <w:ind w:left="811" w:right="0" w:firstLine="0"/>
        <w:jc w:val="lef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等】；</w:t>
      </w:r>
    </w:p>
    <w:p>
      <w:pPr>
        <w:spacing w:before="91" w:after="0" w:line="231" w:lineRule="exact"/>
        <w:ind w:left="811" w:right="0" w:firstLine="0"/>
        <w:jc w:val="lef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2"/>
          <w:szCs w:val="22"/>
          <w:lang w:val="en-US" w:eastAsia="en-US" w:bidi="ar-SA"/>
        </w:rPr>
        <w:t>根据项目内外部周边环境情况、各检验及</w:t>
      </w:r>
    </w:p>
    <w:p>
      <w:pPr>
        <w:spacing w:before="81" w:after="0" w:line="231" w:lineRule="exact"/>
        <w:ind w:left="811" w:right="0" w:firstLine="0"/>
        <w:jc w:val="lef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2"/>
          <w:szCs w:val="22"/>
          <w:lang w:val="en-US" w:eastAsia="en-US" w:bidi="ar-SA"/>
        </w:rPr>
        <w:t>试验工艺情况、加油站输送油品到检验或</w:t>
      </w:r>
    </w:p>
    <w:p>
      <w:pPr>
        <w:spacing w:before="74" w:after="0" w:line="255" w:lineRule="exact"/>
        <w:ind w:left="187" w:right="0" w:firstLine="0"/>
        <w:jc w:val="lef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RVMPPF+TimesNewRomanPSMT" w:hAnsi="Calibri" w:eastAsiaTheme="minorEastAsia" w:cstheme="minorBidi"/>
          <w:color w:val="000000"/>
          <w:sz w:val="22"/>
          <w:szCs w:val="22"/>
          <w:lang w:val="en-US" w:eastAsia="en-US" w:bidi="ar-SA"/>
        </w:rPr>
        <w:t>3</w:t>
      </w:r>
      <w:r>
        <w:rPr>
          <w:rFonts w:hAnsi="Calibri" w:eastAsiaTheme="minorEastAsia" w:cstheme="minorBidi"/>
          <w:color w:val="000000"/>
          <w:spacing w:val="459"/>
          <w:sz w:val="2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5"/>
          <w:sz w:val="22"/>
          <w:szCs w:val="22"/>
          <w:lang w:val="en-US" w:eastAsia="en-US" w:bidi="ar-SA"/>
        </w:rPr>
        <w:t>试验点作业过程及输油管道配置、油品装</w:t>
      </w:r>
      <w:r>
        <w:rPr>
          <w:rFonts w:hAnsi="Calibri" w:eastAsiaTheme="minorEastAsia" w:cstheme="minorBidi"/>
          <w:color w:val="000000"/>
          <w:spacing w:val="167"/>
          <w:sz w:val="2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已补充完善，见报告</w:t>
      </w:r>
      <w:r>
        <w:rPr>
          <w:rFonts w:hAnsi="Calibri" w:eastAsiaTheme="minorEastAsia" w:cstheme="minorBidi"/>
          <w:color w:val="000000"/>
          <w:spacing w:val="1"/>
          <w:sz w:val="22"/>
          <w:szCs w:val="22"/>
          <w:lang w:val="en-US" w:eastAsia="en-US" w:bidi="ar-SA"/>
        </w:rPr>
        <w:t xml:space="preserve"> </w:t>
      </w:r>
      <w:r>
        <w:rPr>
          <w:rFonts w:ascii="SimSun" w:hAnsi="Calibri" w:eastAsiaTheme="minorEastAsia" w:cstheme="minorBidi"/>
          <w:color w:val="000000"/>
          <w:sz w:val="22"/>
          <w:szCs w:val="22"/>
          <w:lang w:val="en-US" w:eastAsia="en-US" w:bidi="ar-SA"/>
        </w:rPr>
        <w:t>3.3.3</w:t>
      </w:r>
      <w:r>
        <w:rPr>
          <w:rFonts w:hAnsi="Calibri" w:eastAsiaTheme="minorEastAsia" w:cstheme="minorBidi"/>
          <w:color w:val="000000"/>
          <w:spacing w:val="-2"/>
          <w:sz w:val="2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章节、3.4</w:t>
      </w:r>
      <w:r>
        <w:rPr>
          <w:rFonts w:hAnsi="Calibri" w:eastAsiaTheme="minorEastAsia" w:cstheme="minorBidi"/>
          <w:color w:val="000000"/>
          <w:sz w:val="2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章节。</w:t>
      </w:r>
    </w:p>
    <w:p>
      <w:pPr>
        <w:spacing w:before="64" w:after="0" w:line="231" w:lineRule="exact"/>
        <w:ind w:left="811" w:right="0" w:firstLine="0"/>
        <w:jc w:val="lef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2"/>
          <w:szCs w:val="22"/>
          <w:lang w:val="en-US" w:eastAsia="en-US" w:bidi="ar-SA"/>
        </w:rPr>
        <w:t>卸储存使用、供配电系统情况等，有针对</w:t>
      </w:r>
    </w:p>
    <w:p>
      <w:pPr>
        <w:spacing w:before="81" w:after="0" w:line="231" w:lineRule="exact"/>
        <w:ind w:left="811" w:right="0" w:firstLine="0"/>
        <w:jc w:val="lef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性的完善危险有害因素的分析内容。</w:t>
      </w:r>
    </w:p>
    <w:p>
      <w:pPr>
        <w:spacing w:before="91" w:after="0" w:line="231" w:lineRule="exact"/>
        <w:ind w:left="4891" w:right="0" w:firstLine="0"/>
        <w:jc w:val="lef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2"/>
          <w:szCs w:val="22"/>
          <w:lang w:val="en-US" w:eastAsia="en-US" w:bidi="ar-SA"/>
        </w:rPr>
        <w:t>已完善总平面图的安全符合性检查内容，见报告</w:t>
      </w:r>
    </w:p>
    <w:p>
      <w:pPr>
        <w:spacing w:before="81" w:after="0" w:line="231" w:lineRule="exact"/>
        <w:ind w:left="811" w:right="0" w:firstLine="0"/>
        <w:jc w:val="lef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2"/>
          <w:szCs w:val="22"/>
          <w:lang w:val="en-US" w:eastAsia="en-US" w:bidi="ar-SA"/>
        </w:rPr>
        <w:t>完善总平面图、研发平台第三联合厂房试</w:t>
      </w:r>
      <w:r>
        <w:rPr>
          <w:rFonts w:hAnsi="Calibri" w:eastAsiaTheme="minorEastAsia" w:cstheme="minorBidi"/>
          <w:color w:val="000000"/>
          <w:spacing w:val="165"/>
          <w:sz w:val="2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1"/>
          <w:sz w:val="22"/>
          <w:szCs w:val="22"/>
          <w:lang w:val="en-US" w:eastAsia="en-US" w:bidi="ar-SA"/>
        </w:rPr>
        <w:t>5.2.1、5.3.1</w:t>
      </w:r>
      <w:r>
        <w:rPr>
          <w:rFonts w:hAnsi="Calibri" w:eastAsiaTheme="minorEastAsia" w:cstheme="minorBidi"/>
          <w:color w:val="000000"/>
          <w:spacing w:val="2"/>
          <w:sz w:val="2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章节；已完善研发平台第三联合</w:t>
      </w:r>
    </w:p>
    <w:p>
      <w:pPr>
        <w:spacing w:before="74" w:after="0" w:line="255" w:lineRule="exact"/>
        <w:ind w:left="187" w:right="0" w:firstLine="0"/>
        <w:jc w:val="lef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RVMPPF+TimesNewRomanPSMT" w:hAnsi="Calibri" w:eastAsiaTheme="minorEastAsia" w:cstheme="minorBidi"/>
          <w:color w:val="000000"/>
          <w:sz w:val="22"/>
          <w:szCs w:val="22"/>
          <w:lang w:val="en-US" w:eastAsia="en-US" w:bidi="ar-SA"/>
        </w:rPr>
        <w:t>4</w:t>
      </w:r>
      <w:r>
        <w:rPr>
          <w:rFonts w:hAnsi="Calibri" w:eastAsiaTheme="minorEastAsia" w:cstheme="minorBidi"/>
          <w:color w:val="000000"/>
          <w:spacing w:val="459"/>
          <w:sz w:val="2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8"/>
          <w:sz w:val="22"/>
          <w:szCs w:val="22"/>
          <w:lang w:val="en-US" w:eastAsia="en-US" w:bidi="ar-SA"/>
        </w:rPr>
        <w:t>验台架区试验设备及相关安全控制系统</w:t>
      </w:r>
      <w:r>
        <w:rPr>
          <w:rFonts w:hAnsi="Calibri" w:eastAsiaTheme="minorEastAsia" w:cstheme="minorBidi"/>
          <w:color w:val="000000"/>
          <w:spacing w:val="154"/>
          <w:sz w:val="2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6"/>
          <w:sz w:val="22"/>
          <w:szCs w:val="22"/>
          <w:lang w:val="en-US" w:eastAsia="en-US" w:bidi="ar-SA"/>
        </w:rPr>
        <w:t>厂房试验台架区试验设备及相关安全控制系统</w:t>
      </w:r>
    </w:p>
    <w:p>
      <w:pPr>
        <w:spacing w:before="64" w:after="0" w:line="231" w:lineRule="exact"/>
        <w:ind w:left="811" w:right="0" w:firstLine="0"/>
        <w:jc w:val="lef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等的安全符合性检查内容。</w:t>
      </w:r>
      <w:r>
        <w:rPr>
          <w:rFonts w:hAnsi="Calibri" w:eastAsiaTheme="minorEastAsia" w:cstheme="minorBidi"/>
          <w:color w:val="000000"/>
          <w:spacing w:val="1386"/>
          <w:sz w:val="2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5"/>
          <w:sz w:val="22"/>
          <w:szCs w:val="22"/>
          <w:lang w:val="en-US" w:eastAsia="en-US" w:bidi="ar-SA"/>
        </w:rPr>
        <w:t>等的安全符合性检查内容，见报告</w:t>
      </w:r>
      <w:r>
        <w:rPr>
          <w:rFonts w:hAnsi="Calibri" w:eastAsiaTheme="minorEastAsia" w:cstheme="minorBidi"/>
          <w:color w:val="000000"/>
          <w:spacing w:val="6"/>
          <w:sz w:val="2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7"/>
          <w:sz w:val="22"/>
          <w:szCs w:val="22"/>
          <w:lang w:val="en-US" w:eastAsia="en-US" w:bidi="ar-SA"/>
        </w:rPr>
        <w:t>5.2.2、5.3.2</w:t>
      </w:r>
    </w:p>
    <w:p>
      <w:pPr>
        <w:spacing w:before="81" w:after="61" w:line="231" w:lineRule="exact"/>
        <w:ind w:left="4891" w:right="0" w:firstLine="0"/>
        <w:jc w:val="lef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章节。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87"/>
        <w:gridCol w:w="604"/>
        <w:gridCol w:w="20"/>
        <w:gridCol w:w="4060"/>
        <w:gridCol w:w="20"/>
        <w:gridCol w:w="4703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1469"/>
          <w:jc w:val="left"/>
        </w:trPr>
        <w:tc>
          <w:tcPr>
            <w:tcW w:w="187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hAnsi="Calibri"/>
                <w:color w:val="00000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604" w:type="dxa"/>
            <w:noWrap w:val="0"/>
            <w:textDirection w:val="lrTb"/>
            <w:tcFitText w:val="0"/>
            <w:vAlign w:val="top"/>
          </w:tcPr>
          <w:p>
            <w:pPr>
              <w:spacing w:before="617" w:after="0" w:line="245" w:lineRule="exact"/>
              <w:ind w:left="0" w:right="0" w:firstLine="0"/>
              <w:jc w:val="left"/>
              <w:rPr>
                <w:rFonts w:hAnsi="Calibri"/>
                <w:color w:val="000000"/>
                <w:sz w:val="22"/>
                <w:szCs w:val="22"/>
                <w:lang w:val="en-US" w:eastAsia="en-US" w:bidi="ar-SA"/>
              </w:rPr>
            </w:pPr>
            <w:r>
              <w:rPr>
                <w:rFonts w:ascii="RVMPPF+TimesNewRomanPSMT" w:hAnsi="Calibri" w:eastAsiaTheme="minorEastAsia" w:cstheme="minorBidi"/>
                <w:color w:val="00000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hAnsi="Calibri"/>
                <w:color w:val="00000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4060" w:type="dxa"/>
            <w:noWrap w:val="0"/>
            <w:textDirection w:val="lrTb"/>
            <w:tcFitText w:val="0"/>
            <w:vAlign w:val="top"/>
          </w:tcPr>
          <w:p>
            <w:pPr>
              <w:spacing w:before="156" w:after="0" w:line="221" w:lineRule="exact"/>
              <w:ind w:left="0" w:right="0" w:firstLine="0"/>
              <w:jc w:val="left"/>
              <w:rPr>
                <w:rFonts w:hAnsi="Calibri"/>
                <w:color w:val="000000"/>
                <w:sz w:val="22"/>
                <w:szCs w:val="22"/>
                <w:lang w:val="en-US" w:eastAsia="en-US" w:bidi="ar-SA"/>
              </w:rPr>
            </w:pPr>
            <w:r>
              <w:rPr>
                <w:rFonts w:ascii="SimSun" w:hAnsi="SimSun" w:eastAsiaTheme="minorEastAsia" w:cs="SimSun"/>
                <w:color w:val="000000"/>
                <w:spacing w:val="8"/>
                <w:sz w:val="22"/>
                <w:szCs w:val="22"/>
                <w:lang w:val="en-US" w:eastAsia="en-US" w:bidi="ar-SA"/>
              </w:rPr>
              <w:t>完善建构筑物的火灾危险类别划分及耐</w:t>
            </w:r>
          </w:p>
          <w:p>
            <w:pPr>
              <w:spacing w:before="91" w:after="0" w:line="221" w:lineRule="exact"/>
              <w:ind w:left="0" w:right="0" w:firstLine="0"/>
              <w:jc w:val="left"/>
              <w:rPr>
                <w:rFonts w:hAnsi="Calibri"/>
                <w:color w:val="000000"/>
                <w:sz w:val="22"/>
                <w:szCs w:val="22"/>
                <w:lang w:val="en-US" w:eastAsia="en-US" w:bidi="ar-SA"/>
              </w:rPr>
            </w:pPr>
            <w:r>
              <w:rPr>
                <w:rFonts w:ascii="SimSun" w:hAnsi="SimSun" w:eastAsiaTheme="minorEastAsia" w:cs="SimSun"/>
                <w:color w:val="000000"/>
                <w:spacing w:val="-5"/>
                <w:sz w:val="22"/>
                <w:szCs w:val="22"/>
                <w:lang w:val="en-US" w:eastAsia="en-US" w:bidi="ar-SA"/>
              </w:rPr>
              <w:t>火等级划分、建构筑物防火分区、试验室</w:t>
            </w:r>
          </w:p>
          <w:p>
            <w:pPr>
              <w:spacing w:before="91" w:after="0" w:line="221" w:lineRule="exact"/>
              <w:ind w:left="0" w:right="0" w:firstLine="0"/>
              <w:jc w:val="left"/>
              <w:rPr>
                <w:rFonts w:hAnsi="Calibri"/>
                <w:color w:val="000000"/>
                <w:sz w:val="22"/>
                <w:szCs w:val="22"/>
                <w:lang w:val="en-US" w:eastAsia="en-US" w:bidi="ar-SA"/>
              </w:rPr>
            </w:pPr>
            <w:r>
              <w:rPr>
                <w:rFonts w:ascii="SimSun" w:hAnsi="SimSun" w:eastAsiaTheme="minorEastAsia" w:cs="SimSun"/>
                <w:color w:val="000000"/>
                <w:spacing w:val="-5"/>
                <w:sz w:val="22"/>
                <w:szCs w:val="22"/>
                <w:lang w:val="en-US" w:eastAsia="en-US" w:bidi="ar-SA"/>
              </w:rPr>
              <w:t>疏散通道、试验室检测报警联锁及相关送</w:t>
            </w:r>
          </w:p>
          <w:p>
            <w:pPr>
              <w:spacing w:before="91" w:after="0" w:line="221" w:lineRule="exact"/>
              <w:ind w:left="0" w:right="0" w:firstLine="0"/>
              <w:jc w:val="left"/>
              <w:rPr>
                <w:rFonts w:hAnsi="Calibri"/>
                <w:color w:val="000000"/>
                <w:sz w:val="22"/>
                <w:szCs w:val="22"/>
                <w:lang w:val="en-US" w:eastAsia="en-US" w:bidi="ar-SA"/>
              </w:rPr>
            </w:pPr>
            <w:r>
              <w:rPr>
                <w:rFonts w:ascii="SimSun" w:hAnsi="SimSun" w:eastAsiaTheme="minorEastAsia" w:cs="SimSun"/>
                <w:color w:val="000000"/>
                <w:sz w:val="22"/>
                <w:szCs w:val="22"/>
                <w:lang w:val="en-US" w:eastAsia="en-US" w:bidi="ar-SA"/>
              </w:rPr>
              <w:t>通风系统等方面的安全符合性检查内容。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hAnsi="Calibri"/>
                <w:color w:val="00000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470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1" w:lineRule="exact"/>
              <w:ind w:left="0" w:right="0" w:firstLine="0"/>
              <w:jc w:val="left"/>
              <w:rPr>
                <w:rFonts w:hAnsi="Calibri"/>
                <w:color w:val="000000"/>
                <w:sz w:val="22"/>
                <w:szCs w:val="22"/>
                <w:lang w:val="en-US" w:eastAsia="en-US" w:bidi="ar-SA"/>
              </w:rPr>
            </w:pPr>
            <w:r>
              <w:rPr>
                <w:rFonts w:ascii="SimSun" w:hAnsi="SimSun" w:eastAsiaTheme="minorEastAsia" w:cs="SimSun"/>
                <w:color w:val="000000"/>
                <w:sz w:val="22"/>
                <w:szCs w:val="22"/>
                <w:lang w:val="en-US" w:eastAsia="en-US" w:bidi="ar-SA"/>
              </w:rPr>
              <w:t>已完善建构筑物的火灾危险类别划分及耐火等</w:t>
            </w:r>
          </w:p>
          <w:p>
            <w:pPr>
              <w:spacing w:before="91" w:after="0" w:line="221" w:lineRule="exact"/>
              <w:ind w:left="0" w:right="0" w:firstLine="0"/>
              <w:jc w:val="left"/>
              <w:rPr>
                <w:rFonts w:hAnsi="Calibri"/>
                <w:color w:val="000000"/>
                <w:sz w:val="22"/>
                <w:szCs w:val="22"/>
                <w:lang w:val="en-US" w:eastAsia="en-US" w:bidi="ar-SA"/>
              </w:rPr>
            </w:pPr>
            <w:r>
              <w:rPr>
                <w:rFonts w:ascii="SimSun" w:hAnsi="SimSun" w:eastAsiaTheme="minorEastAsia" w:cs="SimSun"/>
                <w:color w:val="000000"/>
                <w:sz w:val="22"/>
                <w:szCs w:val="22"/>
                <w:lang w:val="en-US" w:eastAsia="en-US" w:bidi="ar-SA"/>
              </w:rPr>
              <w:t>级划分、建构筑物防火分区、试验室疏散通道，</w:t>
            </w:r>
          </w:p>
          <w:p>
            <w:pPr>
              <w:spacing w:before="91" w:after="0" w:line="221" w:lineRule="exact"/>
              <w:ind w:left="0" w:right="0" w:firstLine="0"/>
              <w:jc w:val="left"/>
              <w:rPr>
                <w:rFonts w:hAnsi="Calibri"/>
                <w:color w:val="000000"/>
                <w:sz w:val="22"/>
                <w:szCs w:val="22"/>
                <w:lang w:val="en-US" w:eastAsia="en-US" w:bidi="ar-SA"/>
              </w:rPr>
            </w:pPr>
            <w:r>
              <w:rPr>
                <w:rFonts w:ascii="SimSun" w:hAnsi="SimSun" w:eastAsiaTheme="minorEastAsia" w:cs="SimSun"/>
                <w:color w:val="000000"/>
                <w:sz w:val="22"/>
                <w:szCs w:val="22"/>
                <w:lang w:val="en-US" w:eastAsia="en-US" w:bidi="ar-SA"/>
              </w:rPr>
              <w:t>见报告</w:t>
            </w:r>
            <w:r>
              <w:rPr>
                <w:rFonts w:hAnsi="Calibri" w:eastAsiaTheme="minorEastAsia" w:cstheme="minorBidi"/>
                <w:color w:val="000000"/>
                <w:spacing w:val="1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imSun" w:hAnsi="Calibri" w:eastAsiaTheme="minorEastAsia" w:cstheme="minorBidi"/>
                <w:color w:val="000000"/>
                <w:sz w:val="22"/>
                <w:szCs w:val="22"/>
                <w:lang w:val="en-US" w:eastAsia="en-US" w:bidi="ar-SA"/>
              </w:rPr>
              <w:t>5.3.1</w:t>
            </w:r>
            <w:r>
              <w:rPr>
                <w:rFonts w:hAnsi="Calibri" w:eastAsiaTheme="minorEastAsia" w:cstheme="minorBidi"/>
                <w:color w:val="000000"/>
                <w:spacing w:val="-2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imSun" w:hAnsi="SimSun" w:eastAsiaTheme="minorEastAsia" w:cs="SimSun"/>
                <w:color w:val="000000"/>
                <w:spacing w:val="-7"/>
                <w:sz w:val="22"/>
                <w:szCs w:val="22"/>
                <w:lang w:val="en-US" w:eastAsia="en-US" w:bidi="ar-SA"/>
              </w:rPr>
              <w:t>章节。试验室检测报警联锁及相关</w:t>
            </w:r>
          </w:p>
          <w:p>
            <w:pPr>
              <w:spacing w:before="91" w:after="0" w:line="221" w:lineRule="exact"/>
              <w:ind w:left="0" w:right="0" w:firstLine="0"/>
              <w:jc w:val="left"/>
              <w:rPr>
                <w:rFonts w:hAnsi="Calibri"/>
                <w:color w:val="000000"/>
                <w:sz w:val="22"/>
                <w:szCs w:val="22"/>
                <w:lang w:val="en-US" w:eastAsia="en-US" w:bidi="ar-SA"/>
              </w:rPr>
            </w:pPr>
            <w:r>
              <w:rPr>
                <w:rFonts w:ascii="SimSun" w:hAnsi="SimSun" w:eastAsiaTheme="minorEastAsia" w:cs="SimSun"/>
                <w:color w:val="000000"/>
                <w:spacing w:val="-5"/>
                <w:sz w:val="22"/>
                <w:szCs w:val="22"/>
                <w:lang w:val="en-US" w:eastAsia="en-US" w:bidi="ar-SA"/>
              </w:rPr>
              <w:t>送通风系统等方面的安全符合性检查内容，见报</w:t>
            </w:r>
          </w:p>
          <w:p>
            <w:pPr>
              <w:spacing w:before="91" w:after="0" w:line="221" w:lineRule="exact"/>
              <w:ind w:left="0" w:right="0" w:firstLine="0"/>
              <w:jc w:val="left"/>
              <w:rPr>
                <w:rFonts w:hAnsi="Calibri"/>
                <w:color w:val="000000"/>
                <w:sz w:val="22"/>
                <w:szCs w:val="22"/>
                <w:lang w:val="en-US" w:eastAsia="en-US" w:bidi="ar-SA"/>
              </w:rPr>
            </w:pPr>
            <w:r>
              <w:rPr>
                <w:rFonts w:ascii="SimSun" w:hAnsi="SimSun" w:eastAsiaTheme="minorEastAsia" w:cs="SimSun"/>
                <w:color w:val="000000"/>
                <w:sz w:val="22"/>
                <w:szCs w:val="22"/>
                <w:lang w:val="en-US" w:eastAsia="en-US" w:bidi="ar-SA"/>
              </w:rPr>
              <w:t>告</w:t>
            </w:r>
            <w:r>
              <w:rPr>
                <w:rFonts w:hAnsi="Calibri" w:eastAsiaTheme="minorEastAsia" w:cstheme="minorBidi"/>
                <w:color w:val="000000"/>
                <w:spacing w:val="1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imSun" w:hAnsi="Calibri" w:eastAsiaTheme="minorEastAsia" w:cstheme="minorBidi"/>
                <w:color w:val="000000"/>
                <w:sz w:val="22"/>
                <w:szCs w:val="22"/>
                <w:lang w:val="en-US" w:eastAsia="en-US" w:bidi="ar-SA"/>
              </w:rPr>
              <w:t>5.3.2</w:t>
            </w:r>
            <w:r>
              <w:rPr>
                <w:rFonts w:hAnsi="Calibri" w:eastAsiaTheme="minorEastAsia" w:cstheme="minorBidi"/>
                <w:color w:val="000000"/>
                <w:spacing w:val="-2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imSun" w:hAnsi="SimSun" w:eastAsiaTheme="minorEastAsia" w:cs="SimSun"/>
                <w:color w:val="000000"/>
                <w:sz w:val="22"/>
                <w:szCs w:val="22"/>
                <w:lang w:val="en-US" w:eastAsia="en-US" w:bidi="ar-SA"/>
              </w:rPr>
              <w:t>章节。</w:t>
            </w:r>
          </w:p>
        </w:tc>
      </w:tr>
    </w:tbl>
    <w:p>
      <w:pPr>
        <w:spacing w:before="103" w:after="0" w:line="60" w:lineRule="exact"/>
        <w:ind w:left="811" w:right="0" w:firstLine="0"/>
        <w:jc w:val="lef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hAnsi="Calibri" w:eastAsiaTheme="minorEastAsia" w:cstheme="minorBidi"/>
          <w:color w:val="000000"/>
          <w:spacing w:val="4025"/>
          <w:sz w:val="2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5"/>
          <w:sz w:val="22"/>
          <w:szCs w:val="22"/>
          <w:lang w:val="en-US" w:eastAsia="en-US" w:bidi="ar-SA"/>
        </w:rPr>
        <w:t>已完善项目试验室、油品储存的爆炸危险场所的</w:t>
      </w:r>
      <w:r>
        <w:rPr>
          <w:rFonts w:ascii="SimSun" w:hAnsi="SimSun" w:eastAsiaTheme="minorEastAsia" w:cs="SimSun"/>
          <w:color w:val="000000"/>
          <w:spacing w:val="-5"/>
          <w:sz w:val="22"/>
          <w:szCs w:val="22"/>
          <w:lang w:val="en-US" w:eastAsia="en-US" w:bidi="ar-SA"/>
        </w:rPr>
        <w:cr/>
      </w:r>
      <w:r>
        <w:rPr>
          <w:rFonts w:ascii="SimSun" w:hAnsi="SimSun" w:eastAsiaTheme="minorEastAsia" w:cs="SimSun"/>
          <w:color w:val="000000"/>
          <w:spacing w:val="-5"/>
          <w:sz w:val="22"/>
          <w:szCs w:val="22"/>
          <w:lang w:val="en-US" w:eastAsia="en-US" w:bidi="ar-SA"/>
        </w:rPr>
        <w:t>完善项目试验室、油品储存的爆炸危险场</w:t>
      </w:r>
    </w:p>
    <w:p>
      <w:pPr>
        <w:spacing w:before="7" w:after="0" w:line="245" w:lineRule="exact"/>
        <w:ind w:left="187" w:right="816" w:firstLine="4704"/>
        <w:jc w:val="lef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2"/>
          <w:szCs w:val="22"/>
          <w:lang w:val="en-US" w:eastAsia="en-US" w:bidi="ar-SA"/>
        </w:rPr>
        <w:t xml:space="preserve">电气防爆设备设施、通风系统、检测报警系统等 </w:t>
      </w:r>
      <w:r>
        <w:rPr>
          <w:rFonts w:ascii="RVMPPF+TimesNewRomanPSMT" w:hAnsi="Calibri" w:eastAsiaTheme="minorEastAsia" w:cstheme="minorBidi"/>
          <w:color w:val="000000"/>
          <w:sz w:val="22"/>
          <w:szCs w:val="22"/>
          <w:lang w:val="en-US" w:eastAsia="en-US" w:bidi="ar-SA"/>
        </w:rPr>
        <w:t>6</w:t>
      </w:r>
      <w:r>
        <w:rPr>
          <w:rFonts w:hAnsi="Calibri" w:eastAsiaTheme="minorEastAsia" w:cstheme="minorBidi"/>
          <w:color w:val="000000"/>
          <w:spacing w:val="459"/>
          <w:sz w:val="2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5"/>
          <w:sz w:val="22"/>
          <w:szCs w:val="22"/>
          <w:lang w:val="en-US" w:eastAsia="en-US" w:bidi="ar-SA"/>
        </w:rPr>
        <w:t>所的电气防爆设备设施、通风系统、检测</w:t>
      </w:r>
    </w:p>
    <w:p>
      <w:pPr>
        <w:spacing w:before="178" w:after="0" w:line="60" w:lineRule="exact"/>
        <w:ind w:left="811" w:right="0" w:firstLine="0"/>
        <w:jc w:val="lef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hAnsi="Calibri" w:eastAsiaTheme="minorEastAsia" w:cstheme="minorBidi"/>
          <w:color w:val="000000"/>
          <w:spacing w:val="4025"/>
          <w:sz w:val="2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的安全符合性检查内容，见报告</w:t>
      </w:r>
      <w:r>
        <w:rPr>
          <w:rFonts w:hAnsi="Calibri" w:eastAsiaTheme="minorEastAsia" w:cstheme="minorBidi"/>
          <w:color w:val="000000"/>
          <w:spacing w:val="1"/>
          <w:sz w:val="22"/>
          <w:szCs w:val="22"/>
          <w:lang w:val="en-US" w:eastAsia="en-US" w:bidi="ar-SA"/>
        </w:rPr>
        <w:t xml:space="preserve"> </w:t>
      </w:r>
      <w:r>
        <w:rPr>
          <w:rFonts w:ascii="SimSun" w:hAnsi="Calibri" w:eastAsiaTheme="minorEastAsia" w:cstheme="minorBidi"/>
          <w:color w:val="000000"/>
          <w:sz w:val="22"/>
          <w:szCs w:val="22"/>
          <w:lang w:val="en-US" w:eastAsia="en-US" w:bidi="ar-SA"/>
        </w:rPr>
        <w:t>5.3.2</w:t>
      </w:r>
      <w:r>
        <w:rPr>
          <w:rFonts w:hAnsi="Calibri" w:eastAsiaTheme="minorEastAsia" w:cstheme="minorBidi"/>
          <w:color w:val="000000"/>
          <w:spacing w:val="1"/>
          <w:sz w:val="2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章节。</w:t>
      </w: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cr/>
      </w: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报警系统等的安全符合性检查内容。</w:t>
      </w:r>
    </w:p>
    <w:p>
      <w:pPr>
        <w:spacing w:before="322" w:after="31" w:line="60" w:lineRule="exact"/>
        <w:ind w:left="811" w:right="0" w:firstLine="0"/>
        <w:jc w:val="lef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hAnsi="Calibri" w:eastAsiaTheme="minorEastAsia" w:cstheme="minorBidi"/>
          <w:color w:val="000000"/>
          <w:spacing w:val="4025"/>
          <w:sz w:val="2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6"/>
          <w:sz w:val="22"/>
          <w:szCs w:val="22"/>
          <w:lang w:val="en-US" w:eastAsia="en-US" w:bidi="ar-SA"/>
        </w:rPr>
        <w:t>已完善加油站油品对外输送管道设置安全符合</w:t>
      </w:r>
      <w:r>
        <w:rPr>
          <w:rFonts w:ascii="SimSun" w:hAnsi="SimSun" w:eastAsiaTheme="minorEastAsia" w:cs="SimSun"/>
          <w:color w:val="000000"/>
          <w:spacing w:val="6"/>
          <w:sz w:val="22"/>
          <w:szCs w:val="22"/>
          <w:lang w:val="en-US" w:eastAsia="en-US" w:bidi="ar-SA"/>
        </w:rPr>
        <w:cr/>
      </w:r>
      <w:r>
        <w:rPr>
          <w:rFonts w:ascii="SimSun" w:hAnsi="SimSun" w:eastAsiaTheme="minorEastAsia" w:cs="SimSun"/>
          <w:color w:val="000000"/>
          <w:spacing w:val="1"/>
          <w:sz w:val="22"/>
          <w:szCs w:val="22"/>
          <w:lang w:val="en-US" w:eastAsia="en-US" w:bidi="ar-SA"/>
        </w:rPr>
        <w:t>完善加油站油品对外输送管道设置(汽油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87"/>
        <w:gridCol w:w="604"/>
        <w:gridCol w:w="20"/>
        <w:gridCol w:w="4060"/>
        <w:gridCol w:w="20"/>
        <w:gridCol w:w="4602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93"/>
          <w:jc w:val="left"/>
        </w:trPr>
        <w:tc>
          <w:tcPr>
            <w:tcW w:w="187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hAnsi="Calibri"/>
                <w:color w:val="00000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604" w:type="dxa"/>
            <w:noWrap w:val="0"/>
            <w:textDirection w:val="lrTb"/>
            <w:tcFitText w:val="0"/>
            <w:vAlign w:val="top"/>
          </w:tcPr>
          <w:p>
            <w:pPr>
              <w:spacing w:before="207" w:after="0" w:line="245" w:lineRule="exact"/>
              <w:ind w:left="0" w:right="0" w:firstLine="0"/>
              <w:jc w:val="left"/>
              <w:rPr>
                <w:rFonts w:hAnsi="Calibri"/>
                <w:color w:val="000000"/>
                <w:sz w:val="22"/>
                <w:szCs w:val="22"/>
                <w:lang w:val="en-US" w:eastAsia="en-US" w:bidi="ar-SA"/>
              </w:rPr>
            </w:pPr>
            <w:r>
              <w:rPr>
                <w:rFonts w:ascii="RVMPPF+TimesNewRomanPSMT" w:hAnsi="Calibri" w:eastAsiaTheme="minorEastAsia" w:cstheme="minorBidi"/>
                <w:color w:val="00000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hAnsi="Calibri"/>
                <w:color w:val="00000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4060" w:type="dxa"/>
            <w:noWrap w:val="0"/>
            <w:textDirection w:val="lrTb"/>
            <w:tcFitText w:val="0"/>
            <w:vAlign w:val="top"/>
          </w:tcPr>
          <w:p>
            <w:pPr>
              <w:spacing w:before="60" w:after="0" w:line="221" w:lineRule="exact"/>
              <w:ind w:left="0" w:right="0" w:firstLine="0"/>
              <w:jc w:val="left"/>
              <w:rPr>
                <w:rFonts w:hAnsi="Calibri"/>
                <w:color w:val="000000"/>
                <w:sz w:val="22"/>
                <w:szCs w:val="22"/>
                <w:lang w:val="en-US" w:eastAsia="en-US" w:bidi="ar-SA"/>
              </w:rPr>
            </w:pPr>
            <w:r>
              <w:rPr>
                <w:rFonts w:ascii="SimSun" w:hAnsi="SimSun" w:eastAsiaTheme="minorEastAsia" w:cs="SimSun"/>
                <w:color w:val="000000"/>
                <w:spacing w:val="1"/>
                <w:sz w:val="22"/>
                <w:szCs w:val="22"/>
                <w:lang w:val="en-US" w:eastAsia="en-US" w:bidi="ar-SA"/>
              </w:rPr>
              <w:t>输送泵不得设置在原来泵房内)、空压机</w:t>
            </w:r>
          </w:p>
          <w:p>
            <w:pPr>
              <w:spacing w:before="91" w:after="0" w:line="221" w:lineRule="exact"/>
              <w:ind w:left="0" w:right="0" w:firstLine="0"/>
              <w:jc w:val="left"/>
              <w:rPr>
                <w:rFonts w:hAnsi="Calibri"/>
                <w:color w:val="000000"/>
                <w:sz w:val="22"/>
                <w:szCs w:val="22"/>
                <w:lang w:val="en-US" w:eastAsia="en-US" w:bidi="ar-SA"/>
              </w:rPr>
            </w:pPr>
            <w:r>
              <w:rPr>
                <w:rFonts w:ascii="SimSun" w:hAnsi="SimSun" w:eastAsiaTheme="minorEastAsia" w:cs="SimSun"/>
                <w:color w:val="000000"/>
                <w:spacing w:val="8"/>
                <w:sz w:val="22"/>
                <w:szCs w:val="22"/>
                <w:lang w:val="en-US" w:eastAsia="en-US" w:bidi="ar-SA"/>
              </w:rPr>
              <w:t>站房及相关设备设施的安全符合性检查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hAnsi="Calibri"/>
                <w:color w:val="00000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4602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1" w:lineRule="exact"/>
              <w:ind w:left="0" w:right="0" w:firstLine="0"/>
              <w:jc w:val="left"/>
              <w:rPr>
                <w:rFonts w:hAnsi="Calibri"/>
                <w:color w:val="000000"/>
                <w:sz w:val="22"/>
                <w:szCs w:val="22"/>
                <w:lang w:val="en-US" w:eastAsia="en-US" w:bidi="ar-SA"/>
              </w:rPr>
            </w:pPr>
            <w:r>
              <w:rPr>
                <w:rFonts w:ascii="SimSun" w:hAnsi="SimSun" w:eastAsiaTheme="minorEastAsia" w:cs="SimSun"/>
                <w:color w:val="000000"/>
                <w:spacing w:val="-5"/>
                <w:sz w:val="22"/>
                <w:szCs w:val="22"/>
                <w:lang w:val="en-US" w:eastAsia="en-US" w:bidi="ar-SA"/>
              </w:rPr>
              <w:t>性检查内容，见报告</w:t>
            </w:r>
            <w:r>
              <w:rPr>
                <w:rFonts w:hAnsi="Calibri" w:eastAsiaTheme="minorEastAsia" w:cstheme="minorBidi"/>
                <w:color w:val="000000"/>
                <w:spacing w:val="6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imSun" w:hAnsi="Calibri" w:eastAsiaTheme="minorEastAsia" w:cstheme="minorBidi"/>
                <w:color w:val="000000"/>
                <w:sz w:val="22"/>
                <w:szCs w:val="22"/>
                <w:lang w:val="en-US" w:eastAsia="en-US" w:bidi="ar-SA"/>
              </w:rPr>
              <w:t>5.2.2</w:t>
            </w:r>
            <w:r>
              <w:rPr>
                <w:rFonts w:hAnsi="Calibri" w:eastAsiaTheme="minorEastAsia" w:cstheme="minorBidi"/>
                <w:color w:val="000000"/>
                <w:spacing w:val="1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imSun" w:hAnsi="SimSun" w:eastAsiaTheme="minorEastAsia" w:cs="SimSun"/>
                <w:color w:val="000000"/>
                <w:sz w:val="22"/>
                <w:szCs w:val="22"/>
                <w:lang w:val="en-US" w:eastAsia="en-US" w:bidi="ar-SA"/>
              </w:rPr>
              <w:t>章节表</w:t>
            </w:r>
            <w:r>
              <w:rPr>
                <w:rFonts w:hAnsi="Calibri" w:eastAsiaTheme="minorEastAsia" w:cstheme="minorBidi"/>
                <w:color w:val="000000"/>
                <w:spacing w:val="1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imSun" w:hAnsi="Calibri" w:eastAsiaTheme="minorEastAsia" w:cstheme="minorBidi"/>
                <w:color w:val="000000"/>
                <w:sz w:val="22"/>
                <w:szCs w:val="22"/>
                <w:lang w:val="en-US" w:eastAsia="en-US" w:bidi="ar-SA"/>
              </w:rPr>
              <w:t>5.2-2</w:t>
            </w:r>
            <w:r>
              <w:rPr>
                <w:rFonts w:hAnsi="Calibri" w:eastAsiaTheme="minorEastAsia" w:cstheme="minorBidi"/>
                <w:color w:val="000000"/>
                <w:spacing w:val="1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imSun" w:hAnsi="SimSun" w:eastAsiaTheme="minorEastAsia" w:cs="SimSun"/>
                <w:color w:val="000000"/>
                <w:sz w:val="22"/>
                <w:szCs w:val="22"/>
                <w:lang w:val="en-US" w:eastAsia="en-US" w:bidi="ar-SA"/>
              </w:rPr>
              <w:t>中</w:t>
            </w:r>
            <w:r>
              <w:rPr>
                <w:rFonts w:hAnsi="Calibri" w:eastAsiaTheme="minorEastAsia" w:cstheme="minorBidi"/>
                <w:color w:val="000000"/>
                <w:spacing w:val="-1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imSun" w:hAnsi="SimSun" w:eastAsiaTheme="minorEastAsia" w:cs="SimSun"/>
                <w:color w:val="000000"/>
                <w:sz w:val="22"/>
                <w:szCs w:val="22"/>
                <w:lang w:val="en-US" w:eastAsia="en-US" w:bidi="ar-SA"/>
              </w:rPr>
              <w:t>9～</w:t>
            </w:r>
          </w:p>
          <w:p>
            <w:pPr>
              <w:spacing w:before="91" w:after="0" w:line="221" w:lineRule="exact"/>
              <w:ind w:left="0" w:right="0" w:firstLine="0"/>
              <w:jc w:val="left"/>
              <w:rPr>
                <w:rFonts w:hAnsi="Calibri"/>
                <w:color w:val="000000"/>
                <w:sz w:val="22"/>
                <w:szCs w:val="22"/>
                <w:lang w:val="en-US" w:eastAsia="en-US" w:bidi="ar-SA"/>
              </w:rPr>
            </w:pPr>
            <w:r>
              <w:rPr>
                <w:rFonts w:ascii="SimSun" w:hAnsi="Calibri" w:eastAsiaTheme="minorEastAsia" w:cstheme="minorBidi"/>
                <w:color w:val="000000"/>
                <w:sz w:val="22"/>
                <w:szCs w:val="22"/>
                <w:lang w:val="en-US" w:eastAsia="en-US" w:bidi="ar-SA"/>
              </w:rPr>
              <w:t>14</w:t>
            </w:r>
            <w:r>
              <w:rPr>
                <w:rFonts w:hAnsi="Calibri" w:eastAsiaTheme="minorEastAsia" w:cstheme="minorBidi"/>
                <w:color w:val="000000"/>
                <w:spacing w:val="3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imSun" w:hAnsi="SimSun" w:eastAsiaTheme="minorEastAsia" w:cs="SimSun"/>
                <w:color w:val="000000"/>
                <w:spacing w:val="3"/>
                <w:sz w:val="22"/>
                <w:szCs w:val="22"/>
                <w:lang w:val="en-US" w:eastAsia="en-US" w:bidi="ar-SA"/>
              </w:rPr>
              <w:t>条，空压机站房及相关设备设施的安全符合</w:t>
            </w:r>
          </w:p>
        </w:tc>
      </w:tr>
    </w:tbl>
    <w:p>
      <w:pPr>
        <w:spacing w:before="31" w:after="0" w:line="60" w:lineRule="exact"/>
        <w:ind w:left="811" w:right="0" w:firstLine="0"/>
        <w:jc w:val="left"/>
        <w:rPr>
          <w:rFonts w:hAnsi="Calibri"/>
          <w:color w:val="000000"/>
          <w:sz w:val="22"/>
          <w:szCs w:val="22"/>
          <w:lang w:val="en-US" w:eastAsia="en-US" w:bidi="ar-SA"/>
        </w:rPr>
        <w:sectPr>
          <w:pgSz w:w="11900" w:h="16820"/>
          <w:pgMar w:top="1844" w:right="100" w:bottom="0" w:left="1529" w:header="720" w:footer="720" w:gutter="0"/>
          <w:pgNumType w:start="1"/>
          <w:cols w:sep="0" w:space="720"/>
          <w:docGrid w:linePitch="1"/>
        </w:sectPr>
      </w:pPr>
      <w:r>
        <w:rPr>
          <w:rFonts w:hAnsi="Calibri" w:eastAsiaTheme="minorEastAsia" w:cstheme="minorBidi"/>
          <w:color w:val="000000"/>
          <w:spacing w:val="4025"/>
          <w:sz w:val="2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性检查内容见报告</w:t>
      </w:r>
      <w:r>
        <w:rPr>
          <w:rFonts w:hAnsi="Calibri" w:eastAsiaTheme="minorEastAsia" w:cstheme="minorBidi"/>
          <w:color w:val="000000"/>
          <w:spacing w:val="1"/>
          <w:sz w:val="22"/>
          <w:szCs w:val="22"/>
          <w:lang w:val="en-US" w:eastAsia="en-US" w:bidi="ar-SA"/>
        </w:rPr>
        <w:t xml:space="preserve"> </w:t>
      </w:r>
      <w:r>
        <w:rPr>
          <w:rFonts w:ascii="SimSun" w:hAnsi="Calibri" w:eastAsiaTheme="minorEastAsia" w:cstheme="minorBidi"/>
          <w:color w:val="000000"/>
          <w:sz w:val="22"/>
          <w:szCs w:val="22"/>
          <w:lang w:val="en-US" w:eastAsia="en-US" w:bidi="ar-SA"/>
        </w:rPr>
        <w:t>5.4.2</w:t>
      </w:r>
      <w:r>
        <w:rPr>
          <w:rFonts w:hAnsi="Calibri" w:eastAsiaTheme="minorEastAsia" w:cstheme="minorBidi"/>
          <w:color w:val="000000"/>
          <w:spacing w:val="1"/>
          <w:sz w:val="2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章节。</w:t>
      </w: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cr/>
      </w: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内容。</w:t>
      </w:r>
    </w:p>
    <w:p>
      <w:pPr>
        <w:widowControl w:val="0"/>
        <w:spacing w:after="160" w:line="259" w:lineRule="auto"/>
        <w:jc w:val="center"/>
        <w:rPr>
          <w:rFonts w:ascii="宋体" w:eastAsia="宋体" w:hAnsi="宋体" w:cs="宋体" w:hint="eastAsia"/>
          <w:b/>
          <w:bCs/>
          <w:kern w:val="2"/>
          <w:sz w:val="32"/>
          <w:szCs w:val="32"/>
          <w:lang w:val="en-US" w:eastAsia="zh-CN" w:bidi="ar-SA"/>
        </w:rPr>
      </w:pPr>
      <w:bookmarkStart w:id="6" w:name="_GoBack"/>
      <w:r>
        <w:rPr>
          <w:rFonts w:ascii="宋体" w:eastAsia="宋体" w:hAnsi="宋体" w:cs="宋体" w:hint="eastAsia"/>
          <w:b/>
          <w:bCs/>
          <w:kern w:val="2"/>
          <w:sz w:val="32"/>
          <w:szCs w:val="32"/>
          <w:lang w:val="en-US" w:eastAsia="zh-CN" w:bidi="ar-SA"/>
        </w:rPr>
        <w:t>迅捷</w:t>
      </w:r>
      <w:r>
        <w:rPr>
          <w:rFonts w:ascii="宋体" w:eastAsia="宋体" w:hAnsi="宋体" w:cs="宋体" w:hint="eastAsia"/>
          <w:b/>
          <w:bCs/>
          <w:kern w:val="2"/>
          <w:sz w:val="32"/>
          <w:szCs w:val="32"/>
          <w:lang w:val="en-US" w:eastAsia="zh-CN" w:bidi="ar-SA"/>
        </w:rPr>
        <w:t>PDF转换器</w:t>
      </w:r>
    </w:p>
    <w:bookmarkEnd w:id="6"/>
    <w:sectPr>
      <w:pgSz w:w="11906" w:h="16838"/>
      <w:pgMar w:top="1440" w:right="1800" w:bottom="1440" w:left="180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CWMMGU+TimesNewRomanPS-BoldMT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RVMPPF+TimesNewRomanPSMT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